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8F7" w:rsidRDefault="001548F7" w:rsidP="001548F7">
      <w:pPr>
        <w:jc w:val="center"/>
        <w:rPr>
          <w:b/>
        </w:rPr>
      </w:pPr>
      <w:r>
        <w:rPr>
          <w:b/>
        </w:rPr>
        <w:t>Blue Light: An Overview of the Evidence of Damage-Causing Mechanisms in the Skin</w:t>
      </w:r>
    </w:p>
    <w:p w:rsidR="000F59F7" w:rsidRDefault="000F59F7" w:rsidP="001548F7">
      <w:pPr>
        <w:jc w:val="center"/>
        <w:rPr>
          <w:b/>
        </w:rPr>
      </w:pPr>
      <w:r>
        <w:rPr>
          <w:b/>
        </w:rPr>
        <w:t>Elisabeth Stevens</w:t>
      </w:r>
    </w:p>
    <w:p w:rsidR="000F59F7" w:rsidRDefault="000F59F7" w:rsidP="001548F7">
      <w:pPr>
        <w:jc w:val="center"/>
        <w:rPr>
          <w:b/>
        </w:rPr>
      </w:pPr>
    </w:p>
    <w:p w:rsidR="00692B68" w:rsidRPr="00F460DA" w:rsidRDefault="00692B68" w:rsidP="00D162FA">
      <w:pPr>
        <w:rPr>
          <w:b/>
        </w:rPr>
      </w:pPr>
      <w:r w:rsidRPr="00F460DA">
        <w:rPr>
          <w:b/>
        </w:rPr>
        <w:t>Introduction</w:t>
      </w:r>
    </w:p>
    <w:p w:rsidR="00D162FA" w:rsidRDefault="00D162FA" w:rsidP="00D162FA">
      <w:r w:rsidRPr="00692B68">
        <w:t xml:space="preserve">Blue light was previously </w:t>
      </w:r>
      <w:r w:rsidR="00692B68">
        <w:t>considered benign as compared to UV light</w:t>
      </w:r>
      <w:r w:rsidRPr="00D162FA">
        <w:t xml:space="preserve">. The line between the two is established by wavelength, but there may not be a sharp cut-off in terms of </w:t>
      </w:r>
      <w:r>
        <w:t>whether or not</w:t>
      </w:r>
      <w:r w:rsidR="000F59F7">
        <w:t xml:space="preserve"> they contribute to damaging reactions</w:t>
      </w:r>
      <w:r>
        <w:t xml:space="preserve"> i</w:t>
      </w:r>
      <w:r w:rsidRPr="00D162FA">
        <w:t xml:space="preserve">n the </w:t>
      </w:r>
      <w:r w:rsidR="00E91CF3">
        <w:t>skin. Blue light is radiated to us from the sun, smartphones, TVs, and tablets;</w:t>
      </w:r>
      <w:r w:rsidRPr="00D162FA">
        <w:t xml:space="preserve"> and has been shown to cause oxidative stress on the skin. It is possible to approach formulations with blue light damage mitigation in mind. </w:t>
      </w:r>
    </w:p>
    <w:p w:rsidR="00692B68" w:rsidRDefault="00692B68" w:rsidP="00D162FA"/>
    <w:p w:rsidR="00692B68" w:rsidRPr="00F460DA" w:rsidRDefault="00F460DA" w:rsidP="00D162FA">
      <w:pPr>
        <w:rPr>
          <w:b/>
        </w:rPr>
      </w:pPr>
      <w:r w:rsidRPr="00F460DA">
        <w:rPr>
          <w:b/>
        </w:rPr>
        <w:t>Background</w:t>
      </w:r>
    </w:p>
    <w:p w:rsidR="008E0E23" w:rsidRPr="00AB01D5" w:rsidRDefault="00692B68" w:rsidP="00AB01D5">
      <w:r>
        <w:t>Fi</w:t>
      </w:r>
      <w:r w:rsidR="00F56AC3">
        <w:t>gure 1 below shows the categories of light</w:t>
      </w:r>
      <w:r>
        <w:t xml:space="preserve"> </w:t>
      </w:r>
      <w:r w:rsidR="00F460DA">
        <w:t>separated</w:t>
      </w:r>
      <w:r>
        <w:t xml:space="preserve"> by wavelength. Within visible light, blue light is considered HEV (high energy visual) light and is within 400-500 nm. </w:t>
      </w:r>
      <w:r w:rsidR="00F460DA">
        <w:t>Figure 2 shows the differe</w:t>
      </w:r>
      <w:r w:rsidR="005750FE">
        <w:t>nce in penetration into the skin</w:t>
      </w:r>
      <w:r w:rsidR="00F460DA">
        <w:t xml:space="preserve"> by the different categories of light. As the wavelength increases, the deeper the lig</w:t>
      </w:r>
      <w:r w:rsidR="005750FE">
        <w:t>ht waves will reach</w:t>
      </w:r>
      <w:r w:rsidR="00F460DA">
        <w:t xml:space="preserve">. </w:t>
      </w:r>
      <w:r w:rsidR="00FA3CA6">
        <w:t xml:space="preserve">See Figure 2. </w:t>
      </w:r>
      <w:r w:rsidR="00F56AC3">
        <w:t xml:space="preserve">The main source of blue light responsible for the highest exposure to HEV for most people will be the sun. </w:t>
      </w:r>
      <w:r w:rsidR="00E80FCB" w:rsidRPr="00AB01D5">
        <w:t>Sunlight can deliver an irradiance of 10</w:t>
      </w:r>
      <w:r w:rsidR="00E80FCB" w:rsidRPr="00AB01D5">
        <w:rPr>
          <w:vertAlign w:val="superscript"/>
        </w:rPr>
        <w:t>1</w:t>
      </w:r>
      <w:r w:rsidR="00E80FCB" w:rsidRPr="00AB01D5">
        <w:t>–10</w:t>
      </w:r>
      <w:r w:rsidR="00E80FCB" w:rsidRPr="00AB01D5">
        <w:rPr>
          <w:vertAlign w:val="superscript"/>
        </w:rPr>
        <w:t>2</w:t>
      </w:r>
      <w:r w:rsidR="00E80FCB" w:rsidRPr="00AB01D5">
        <w:t> mW/cm</w:t>
      </w:r>
      <w:r w:rsidR="00E80FCB" w:rsidRPr="00AB01D5">
        <w:rPr>
          <w:vertAlign w:val="superscript"/>
        </w:rPr>
        <w:t>2</w:t>
      </w:r>
      <w:r w:rsidR="00AB01D5">
        <w:t xml:space="preserve">. </w:t>
      </w:r>
      <w:r w:rsidR="00E80FCB" w:rsidRPr="00AB01D5">
        <w:t>A computer screen 18” away can deliver irradiance of 0.6 mW/cm</w:t>
      </w:r>
      <w:r w:rsidR="00E80FCB" w:rsidRPr="00AB01D5">
        <w:rPr>
          <w:vertAlign w:val="superscript"/>
        </w:rPr>
        <w:t>2</w:t>
      </w:r>
      <w:r w:rsidR="00AB01D5">
        <w:t xml:space="preserve">. The </w:t>
      </w:r>
      <w:r w:rsidR="00E80FCB" w:rsidRPr="00AB01D5">
        <w:t>Average American spent about 8.5 hours per day in front of a computer screen in 2009 per study by Nielsen-funded Council for Research Excellence (CRE) by Ball State University's Center for Media Design (CMD).</w:t>
      </w:r>
      <w:r w:rsidR="00AB01D5">
        <w:t xml:space="preserve"> With increasing use of tablets, smartphones, laptops, and LED lights, HEV exposure levels will also be on the rise. White LED light is a mixture of yellow and blue light, so it is still considered a source of HEV.</w:t>
      </w:r>
    </w:p>
    <w:p w:rsidR="00AB01D5" w:rsidRDefault="00692B68">
      <w:r w:rsidRPr="00692B68">
        <w:rPr>
          <w:noProof/>
        </w:rPr>
        <w:drawing>
          <wp:inline distT="0" distB="0" distL="0" distR="0" wp14:anchorId="016FBBC3" wp14:editId="5D401B6B">
            <wp:extent cx="2976582" cy="1581150"/>
            <wp:effectExtent l="0" t="0" r="0" b="0"/>
            <wp:docPr id="6" name="Picture 2" descr="Image result for blue light uva u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Image result for blue light uva uv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305" cy="161606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AB01D5" w:rsidRDefault="00F460DA" w:rsidP="00AB01D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104775</wp:posOffset>
                </wp:positionH>
                <wp:positionV relativeFrom="paragraph">
                  <wp:posOffset>7620</wp:posOffset>
                </wp:positionV>
                <wp:extent cx="3238500" cy="3143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1A1" w:rsidRDefault="005211A1" w:rsidP="005211A1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Figure 1. Categories of Light</w:t>
                            </w:r>
                          </w:p>
                          <w:p w:rsidR="00692B68" w:rsidRPr="00692B68" w:rsidRDefault="00692B68" w:rsidP="005211A1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92B68">
                              <w:rPr>
                                <w:sz w:val="16"/>
                                <w:szCs w:val="16"/>
                              </w:rPr>
                              <w:t>https://www.visionease.com/coppertone-consumer/sunlight-your-eyes/</w:t>
                            </w:r>
                          </w:p>
                          <w:p w:rsidR="00692B68" w:rsidRDefault="00692B68" w:rsidP="00692B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25pt;margin-top:.6pt;width:25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" stroked="f">
                <v:textbox>
                  <w:txbxContent>
                    <w:p w:rsidR="005211A1" w:rsidRDefault="005211A1" w:rsidP="005211A1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Figure 1. Categories of Light</w:t>
                      </w:r>
                    </w:p>
                    <w:p w:rsidR="00692B68" w:rsidRPr="00692B68" w:rsidRDefault="00692B68" w:rsidP="005211A1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692B68">
                        <w:rPr>
                          <w:sz w:val="16"/>
                          <w:szCs w:val="16"/>
                        </w:rPr>
                        <w:t>https://www.visionease.com/coppertone-consumer/sunlight-your-eyes/</w:t>
                      </w:r>
                    </w:p>
                    <w:p w:rsidR="00692B68" w:rsidRDefault="00692B68" w:rsidP="00692B68"/>
                  </w:txbxContent>
                </v:textbox>
                <w10:wrap type="square" anchorx="margin"/>
              </v:shape>
            </w:pict>
          </mc:Fallback>
        </mc:AlternateContent>
      </w:r>
    </w:p>
    <w:p w:rsidR="00F460DA" w:rsidRDefault="00F460DA" w:rsidP="00AB01D5"/>
    <w:p w:rsidR="00F460DA" w:rsidRDefault="00F460DA" w:rsidP="00AB01D5"/>
    <w:p w:rsidR="00F460DA" w:rsidRDefault="00F460DA" w:rsidP="00AB01D5"/>
    <w:p w:rsidR="00F460DA" w:rsidRDefault="00F460DA" w:rsidP="00AB01D5"/>
    <w:p w:rsidR="00F460DA" w:rsidRDefault="00F460DA" w:rsidP="00AB01D5"/>
    <w:p w:rsidR="00F460DA" w:rsidRDefault="00F460DA" w:rsidP="00AB01D5"/>
    <w:p w:rsidR="00AB01D5" w:rsidRDefault="00F460DA" w:rsidP="00AB01D5">
      <w:r w:rsidRPr="00AB01D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10AA5" wp14:editId="21F2200E">
                <wp:simplePos x="0" y="0"/>
                <wp:positionH relativeFrom="margin">
                  <wp:posOffset>-57150</wp:posOffset>
                </wp:positionH>
                <wp:positionV relativeFrom="paragraph">
                  <wp:posOffset>2447925</wp:posOffset>
                </wp:positionV>
                <wp:extent cx="4991100" cy="523875"/>
                <wp:effectExtent l="0" t="0" r="0" b="0"/>
                <wp:wrapNone/>
                <wp:docPr id="28" name="Content Placeholde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1100" cy="523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211A1" w:rsidRDefault="005211A1" w:rsidP="005211A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Figure 2.  Penetration of Light into the skin</w:t>
                            </w:r>
                            <w:r w:rsidR="00B75D6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(Moan 2001).</w:t>
                            </w:r>
                          </w:p>
                          <w:p w:rsidR="00AB01D5" w:rsidRPr="00F460DA" w:rsidRDefault="00B02EB0" w:rsidP="005211A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F460DA" w:rsidRPr="00F460DA">
                                <w:rPr>
                                  <w:rStyle w:val="Hyperlink"/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http://www.uio.no/studier/emner/matnat/fys/FYS3610/h06/undervisningsmateriale/Compendium/Moan7.pdf</w:t>
                              </w:r>
                            </w:hyperlink>
                          </w:p>
                        </w:txbxContent>
                      </wps:txbx>
                      <wps:bodyPr vert="horz" wrap="square" lIns="91440" tIns="18288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10AA5" id="_x0000_t202" coordsize="21600,21600" o:spt="202" path="m,l,21600r21600,l21600,xe">
                <v:stroke joinstyle="miter"/>
                <v:path gradientshapeok="t" o:connecttype="rect"/>
              </v:shapetype>
              <v:shape id="Content Placeholder 11" o:spid="_x0000_s1027" type="#_x0000_t202" style="position:absolute;margin-left:-4.5pt;margin-top:192.75pt;width:393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" filled="f" stroked="f">
                <v:path arrowok="t"/>
                <v:textbox inset=",14.4pt">
                  <w:txbxContent>
                    <w:p w:rsidR="005211A1" w:rsidRDefault="005211A1" w:rsidP="005211A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Figure 2.  Penetration of Light into the skin</w:t>
                      </w:r>
                      <w:r w:rsidR="00B75D6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(Moan 2001).</w:t>
                      </w:r>
                    </w:p>
                    <w:p w:rsidR="00AB01D5" w:rsidRPr="00F460DA" w:rsidRDefault="00444EEA" w:rsidP="005211A1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hyperlink r:id="rId10" w:history="1">
                        <w:r w:rsidR="00F460DA" w:rsidRPr="00F460DA">
                          <w:rPr>
                            <w:rStyle w:val="Hyperlink"/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http://www.uio.no/studier/emner/matnat/fys/FYS3610/h06/undervisningsmateriale/Compendium/Moan7.pdf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AB01D5" w:rsidRPr="00AB01D5">
        <w:rPr>
          <w:noProof/>
        </w:rPr>
        <w:drawing>
          <wp:inline distT="0" distB="0" distL="0" distR="0" wp14:anchorId="6A1555EE" wp14:editId="4F8E8512">
            <wp:extent cx="3895725" cy="2597566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42920" cy="2629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0DA" w:rsidRDefault="00F460DA" w:rsidP="00AB01D5"/>
    <w:p w:rsidR="00F460DA" w:rsidRDefault="00F460DA" w:rsidP="00F460DA">
      <w:pPr>
        <w:spacing w:after="0" w:line="240" w:lineRule="auto"/>
      </w:pPr>
    </w:p>
    <w:p w:rsidR="006C2ED9" w:rsidRPr="00631483" w:rsidRDefault="00F460DA" w:rsidP="00AB01D5">
      <w:pPr>
        <w:rPr>
          <w:b/>
        </w:rPr>
      </w:pPr>
      <w:r w:rsidRPr="00631483">
        <w:rPr>
          <w:b/>
        </w:rPr>
        <w:t>Mechanisms of Damage</w:t>
      </w:r>
    </w:p>
    <w:p w:rsidR="0019085E" w:rsidRDefault="00631483" w:rsidP="00631483">
      <w:pPr>
        <w:rPr>
          <w:bCs/>
        </w:rPr>
      </w:pPr>
      <w:r w:rsidRPr="00631483">
        <w:rPr>
          <w:bCs/>
        </w:rPr>
        <w:t>roGFP</w:t>
      </w:r>
      <w:r w:rsidR="0019085E">
        <w:rPr>
          <w:bCs/>
        </w:rPr>
        <w:t xml:space="preserve">, </w:t>
      </w:r>
      <w:r w:rsidR="005750FE">
        <w:rPr>
          <w:bCs/>
        </w:rPr>
        <w:t>or Redox-S</w:t>
      </w:r>
      <w:r w:rsidR="0019085E">
        <w:rPr>
          <w:bCs/>
        </w:rPr>
        <w:t xml:space="preserve">ensitive </w:t>
      </w:r>
      <w:r w:rsidR="005750FE">
        <w:rPr>
          <w:bCs/>
        </w:rPr>
        <w:t>Green Fluorescent Protein, can</w:t>
      </w:r>
      <w:r w:rsidRPr="00631483">
        <w:rPr>
          <w:bCs/>
        </w:rPr>
        <w:t xml:space="preserve"> expressed in the mitochondria and cytosol</w:t>
      </w:r>
      <w:r w:rsidR="005750FE">
        <w:rPr>
          <w:bCs/>
        </w:rPr>
        <w:t xml:space="preserve"> of laboratory-bred mice</w:t>
      </w:r>
      <w:r w:rsidRPr="00631483">
        <w:rPr>
          <w:bCs/>
        </w:rPr>
        <w:t xml:space="preserve">. It is oxidized by glutathione disulfide, GSSG, and changes its absorption spectrum when oxidized. </w:t>
      </w:r>
      <w:r w:rsidR="00CB5727">
        <w:rPr>
          <w:bCs/>
        </w:rPr>
        <w:t xml:space="preserve">GSSG is the oxidized form of GSH, glutathione. </w:t>
      </w:r>
      <w:r w:rsidR="005750FE">
        <w:rPr>
          <w:bCs/>
        </w:rPr>
        <w:t>The glutathione redox cascade</w:t>
      </w:r>
      <w:r w:rsidR="00CB5727">
        <w:rPr>
          <w:bCs/>
        </w:rPr>
        <w:t xml:space="preserve"> is one of the body’s ways to protect against oxidative stress, and is triggered by superoxide and singlet oxygen species. </w:t>
      </w:r>
    </w:p>
    <w:p w:rsidR="00631483" w:rsidRPr="00631483" w:rsidRDefault="005750FE" w:rsidP="00631483">
      <w:r>
        <w:rPr>
          <w:bCs/>
        </w:rPr>
        <w:t>Mice</w:t>
      </w:r>
      <w:r w:rsidR="00897C92">
        <w:rPr>
          <w:bCs/>
        </w:rPr>
        <w:t xml:space="preserve"> in a study by Nakashima were</w:t>
      </w:r>
      <w:r>
        <w:rPr>
          <w:bCs/>
        </w:rPr>
        <w:t xml:space="preserve"> exposed to UVA, blue light,</w:t>
      </w:r>
      <w:r w:rsidR="00897C92">
        <w:rPr>
          <w:bCs/>
        </w:rPr>
        <w:t xml:space="preserve"> green fluorescence</w:t>
      </w:r>
      <w:r>
        <w:rPr>
          <w:bCs/>
        </w:rPr>
        <w:t>, and even infrared</w:t>
      </w:r>
      <w:r w:rsidR="00897C92">
        <w:rPr>
          <w:bCs/>
        </w:rPr>
        <w:t xml:space="preserve">. </w:t>
      </w:r>
      <w:r w:rsidR="00631483" w:rsidRPr="0019085E">
        <w:rPr>
          <w:bCs/>
        </w:rPr>
        <w:t xml:space="preserve">Absorption </w:t>
      </w:r>
      <w:r w:rsidR="00CB5727">
        <w:rPr>
          <w:bCs/>
        </w:rPr>
        <w:t xml:space="preserve">from roGFP </w:t>
      </w:r>
      <w:r w:rsidR="0019085E" w:rsidRPr="0019085E">
        <w:rPr>
          <w:bCs/>
        </w:rPr>
        <w:t xml:space="preserve">was </w:t>
      </w:r>
      <w:r w:rsidR="00631483" w:rsidRPr="0019085E">
        <w:rPr>
          <w:bCs/>
        </w:rPr>
        <w:t xml:space="preserve">measured, and </w:t>
      </w:r>
      <w:r w:rsidR="00897C92">
        <w:rPr>
          <w:bCs/>
        </w:rPr>
        <w:t xml:space="preserve">the </w:t>
      </w:r>
      <w:r w:rsidR="00631483" w:rsidRPr="0019085E">
        <w:rPr>
          <w:bCs/>
        </w:rPr>
        <w:t>measurement</w:t>
      </w:r>
      <w:r w:rsidR="00897C92">
        <w:rPr>
          <w:bCs/>
        </w:rPr>
        <w:t xml:space="preserve"> was</w:t>
      </w:r>
      <w:r w:rsidR="00631483" w:rsidRPr="0019085E">
        <w:rPr>
          <w:bCs/>
        </w:rPr>
        <w:t xml:space="preserve"> used to estimate GSSG and GSH </w:t>
      </w:r>
      <w:r w:rsidR="0019085E" w:rsidRPr="0019085E">
        <w:rPr>
          <w:bCs/>
        </w:rPr>
        <w:t>balance inside the cell</w:t>
      </w:r>
      <w:r w:rsidR="00CB5727">
        <w:rPr>
          <w:bCs/>
        </w:rPr>
        <w:t>, since the presence of oxidized roGFP will indicate the presence of GSSG</w:t>
      </w:r>
      <w:r w:rsidR="0019085E" w:rsidRPr="0019085E">
        <w:rPr>
          <w:bCs/>
        </w:rPr>
        <w:t xml:space="preserve">. </w:t>
      </w:r>
      <w:r>
        <w:rPr>
          <w:bCs/>
        </w:rPr>
        <w:t>Human v</w:t>
      </w:r>
      <w:r w:rsidR="00631483" w:rsidRPr="0019085E">
        <w:rPr>
          <w:bCs/>
        </w:rPr>
        <w:t xml:space="preserve">olunteers </w:t>
      </w:r>
      <w:r>
        <w:rPr>
          <w:bCs/>
        </w:rPr>
        <w:t xml:space="preserve">were </w:t>
      </w:r>
      <w:r w:rsidR="00631483" w:rsidRPr="0019085E">
        <w:rPr>
          <w:bCs/>
        </w:rPr>
        <w:t>exposed to blue light at levels same as direct sunlight</w:t>
      </w:r>
      <w:r>
        <w:rPr>
          <w:bCs/>
        </w:rPr>
        <w:t>, and fluorescence of GSSG was measured</w:t>
      </w:r>
      <w:r w:rsidR="00631483" w:rsidRPr="0019085E">
        <w:rPr>
          <w:bCs/>
        </w:rPr>
        <w:t xml:space="preserve">. </w:t>
      </w:r>
      <w:r>
        <w:rPr>
          <w:bCs/>
        </w:rPr>
        <w:t xml:space="preserve">They were exposed to </w:t>
      </w:r>
      <w:r w:rsidR="00631483" w:rsidRPr="0019085E">
        <w:rPr>
          <w:bCs/>
        </w:rPr>
        <w:t>8 s of illumination at 460 nm and 13.8 mWcm</w:t>
      </w:r>
      <w:r w:rsidR="00631483" w:rsidRPr="0019085E">
        <w:rPr>
          <w:bCs/>
          <w:vertAlign w:val="superscript"/>
        </w:rPr>
        <w:t>-2</w:t>
      </w:r>
      <w:r w:rsidR="00631483" w:rsidRPr="0019085E">
        <w:rPr>
          <w:bCs/>
        </w:rPr>
        <w:t xml:space="preserve"> every 10 s for 10 min, followed by</w:t>
      </w:r>
      <w:r w:rsidR="00CB5727">
        <w:rPr>
          <w:bCs/>
        </w:rPr>
        <w:t xml:space="preserve"> an</w:t>
      </w:r>
      <w:r w:rsidR="00631483" w:rsidRPr="0019085E">
        <w:rPr>
          <w:bCs/>
        </w:rPr>
        <w:t xml:space="preserve"> autofluorescence recording for 5 min without blue light illumination.</w:t>
      </w:r>
      <w:r w:rsidR="00631483" w:rsidRPr="00631483">
        <w:rPr>
          <w:bCs/>
        </w:rPr>
        <w:t xml:space="preserve"> </w:t>
      </w:r>
    </w:p>
    <w:p w:rsidR="00631483" w:rsidRDefault="00CB5727" w:rsidP="00631483">
      <w:pPr>
        <w:rPr>
          <w:bCs/>
        </w:rPr>
      </w:pPr>
      <w:r>
        <w:rPr>
          <w:bCs/>
        </w:rPr>
        <w:t>The oxidation events initiated by b</w:t>
      </w:r>
      <w:r w:rsidR="00631483" w:rsidRPr="00631483">
        <w:rPr>
          <w:bCs/>
        </w:rPr>
        <w:t xml:space="preserve">lue light mirrors </w:t>
      </w:r>
      <w:r>
        <w:rPr>
          <w:bCs/>
        </w:rPr>
        <w:t xml:space="preserve">the oxidation events by </w:t>
      </w:r>
      <w:r w:rsidR="00631483" w:rsidRPr="00631483">
        <w:rPr>
          <w:bCs/>
        </w:rPr>
        <w:t>UVA light before tapering off after ab</w:t>
      </w:r>
      <w:r w:rsidR="00FA3CA6">
        <w:rPr>
          <w:bCs/>
        </w:rPr>
        <w:t>out 8 minutes of exposure. Here,</w:t>
      </w:r>
      <w:r w:rsidR="00631483" w:rsidRPr="00631483">
        <w:rPr>
          <w:bCs/>
        </w:rPr>
        <w:t xml:space="preserve"> it seems to </w:t>
      </w:r>
      <w:r>
        <w:rPr>
          <w:bCs/>
        </w:rPr>
        <w:t>level off</w:t>
      </w:r>
      <w:r w:rsidR="00FA3CA6">
        <w:rPr>
          <w:bCs/>
        </w:rPr>
        <w:t xml:space="preserve"> at a ratio that favors oxidized roGFP in mitochondria, but does not quite reach the oxidation levels induced by UVA</w:t>
      </w:r>
      <w:r w:rsidR="00631483" w:rsidRPr="00631483">
        <w:rPr>
          <w:bCs/>
        </w:rPr>
        <w:t xml:space="preserve">. </w:t>
      </w:r>
      <w:r w:rsidR="00FA3CA6">
        <w:rPr>
          <w:bCs/>
        </w:rPr>
        <w:t xml:space="preserve">See figure 3 below. </w:t>
      </w:r>
      <w:r w:rsidR="00631483" w:rsidRPr="00631483">
        <w:rPr>
          <w:bCs/>
        </w:rPr>
        <w:t xml:space="preserve">This suggests that photolabile cells killed off at this level. Glutathione redox state was effective to protect against blue light damage in cytosol. </w:t>
      </w:r>
    </w:p>
    <w:p w:rsidR="00FA3CA6" w:rsidRDefault="00DC79B9" w:rsidP="00631483">
      <w:pPr>
        <w:rPr>
          <w:bCs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3216910</wp:posOffset>
                </wp:positionV>
                <wp:extent cx="5895975" cy="6953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85E" w:rsidRPr="00527218" w:rsidRDefault="00631483" w:rsidP="0019085E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527218">
                              <w:rPr>
                                <w:rFonts w:eastAsia="+mn-ea" w:cstheme="minorHAnsi"/>
                                <w:color w:val="000000"/>
                                <w:sz w:val="16"/>
                                <w:szCs w:val="16"/>
                              </w:rPr>
                              <w:t>Figure 3. Comparison of ratios of oxidized roGFP produced by different wavelengths (Nakashima.)</w:t>
                            </w:r>
                            <w:r w:rsidR="0019085E" w:rsidRPr="00527218">
                              <w:rPr>
                                <w:rFonts w:eastAsia="+mn-ea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19085E" w:rsidRPr="00527218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Absorption was measured, and measurement used to estimate GSSG and GSH balance inside the cell. Volunteers exposed to blue light at levels same as direct sunlight. 8 s of illumination at 460 nm and 13.8 mWcm</w:t>
                            </w:r>
                            <w:r w:rsidR="0019085E" w:rsidRPr="00527218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  <w:vertAlign w:val="superscript"/>
                              </w:rPr>
                              <w:t>-2</w:t>
                            </w:r>
                            <w:r w:rsidR="0019085E" w:rsidRPr="00527218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every 10 s for 10 min, followed by autofluorescence recording for 5 min without blue light illumination. </w:t>
                            </w:r>
                          </w:p>
                          <w:p w:rsidR="00631483" w:rsidRPr="00631483" w:rsidRDefault="0019085E" w:rsidP="00631483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631483" w:rsidRDefault="006314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13.05pt;margin-top:253.3pt;width:464.25pt;height:54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" filled="f" stroked="f">
                <v:textbox>
                  <w:txbxContent>
                    <w:p w:rsidR="0019085E" w:rsidRPr="00527218" w:rsidRDefault="00631483" w:rsidP="0019085E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527218">
                        <w:rPr>
                          <w:rFonts w:eastAsia="+mn-ea" w:cstheme="minorHAnsi"/>
                          <w:color w:val="000000"/>
                          <w:sz w:val="16"/>
                          <w:szCs w:val="16"/>
                        </w:rPr>
                        <w:t>Figure 3. Comparison of ratios of oxidized roGFP produced by different wavelengths (Nakashima.)</w:t>
                      </w:r>
                      <w:r w:rsidR="0019085E" w:rsidRPr="00527218">
                        <w:rPr>
                          <w:rFonts w:eastAsia="+mn-ea" w:cstheme="minorHAnsi"/>
                          <w:color w:val="000000"/>
                          <w:sz w:val="16"/>
                          <w:szCs w:val="16"/>
                        </w:rPr>
                        <w:t xml:space="preserve">. </w:t>
                      </w:r>
                      <w:r w:rsidR="0019085E" w:rsidRPr="00527218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Absorption was measured, and measurement used to estimate GSSG and GSH balance inside the cell. Volunteers exposed to blue light at levels same as direct sunlight. 8 s of illumination at 460 nm and 13.8 mWcm</w:t>
                      </w:r>
                      <w:r w:rsidR="0019085E" w:rsidRPr="00527218">
                        <w:rPr>
                          <w:rFonts w:cstheme="minorHAnsi"/>
                          <w:bCs/>
                          <w:sz w:val="16"/>
                          <w:szCs w:val="16"/>
                          <w:vertAlign w:val="superscript"/>
                        </w:rPr>
                        <w:t>-2</w:t>
                      </w:r>
                      <w:r w:rsidR="0019085E" w:rsidRPr="00527218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every 10 s for 10 min, followed by autofluorescence recording for 5 min without blue light illumination. </w:t>
                      </w:r>
                    </w:p>
                    <w:p w:rsidR="00631483" w:rsidRPr="00631483" w:rsidRDefault="0019085E" w:rsidP="00631483">
                      <w:pPr>
                        <w:spacing w:after="0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631483" w:rsidRDefault="0063148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97AEA47" wp14:editId="6B7A5F56">
            <wp:extent cx="3133725" cy="3095879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40780" cy="310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483" w:rsidRPr="00085D36" w:rsidRDefault="00085D36" w:rsidP="00631483">
      <w:pPr>
        <w:rPr>
          <w:bCs/>
        </w:rPr>
      </w:pPr>
      <w:r>
        <w:rPr>
          <w:bCs/>
        </w:rPr>
        <w:t>In addition to the absorption measurement</w:t>
      </w:r>
      <w:r w:rsidR="00DC79B9">
        <w:rPr>
          <w:bCs/>
        </w:rPr>
        <w:t xml:space="preserve">s, Nakashima also noted that as </w:t>
      </w:r>
      <w:r>
        <w:rPr>
          <w:bCs/>
        </w:rPr>
        <w:t>melanin is an absorber of UVB and UVA light,</w:t>
      </w:r>
      <w:r w:rsidR="00613889">
        <w:rPr>
          <w:bCs/>
        </w:rPr>
        <w:t xml:space="preserve"> it also absorbs light in the HE</w:t>
      </w:r>
      <w:r>
        <w:rPr>
          <w:bCs/>
        </w:rPr>
        <w:t>V category. It does not distinguish blue light as separate from UV light</w:t>
      </w:r>
      <w:r w:rsidR="00DC79B9">
        <w:rPr>
          <w:bCs/>
        </w:rPr>
        <w:t xml:space="preserve"> as it does for green and red light</w:t>
      </w:r>
      <w:r w:rsidR="00613889">
        <w:rPr>
          <w:bCs/>
        </w:rPr>
        <w:t>, which suggests a similar biochemical effect in the skin</w:t>
      </w:r>
      <w:r w:rsidR="00631483" w:rsidRPr="00631483">
        <w:rPr>
          <w:bCs/>
        </w:rPr>
        <w:t xml:space="preserve"> (Nakashima)</w:t>
      </w:r>
      <w:r>
        <w:rPr>
          <w:bCs/>
        </w:rPr>
        <w:t>.</w:t>
      </w:r>
    </w:p>
    <w:p w:rsidR="007D1D96" w:rsidRDefault="00527218" w:rsidP="00631483">
      <w:pPr>
        <w:rPr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3164205</wp:posOffset>
                </wp:positionV>
                <wp:extent cx="5553075" cy="257175"/>
                <wp:effectExtent l="0" t="0" r="9525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314" w:rsidRPr="00B30314" w:rsidRDefault="00B3031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30314">
                              <w:rPr>
                                <w:sz w:val="16"/>
                                <w:szCs w:val="16"/>
                              </w:rPr>
                              <w:t>Figure 4. Levels of nitric oxide from S-nitrosalbumin is shown</w:t>
                            </w:r>
                            <w:r w:rsidR="008D038E">
                              <w:rPr>
                                <w:sz w:val="16"/>
                                <w:szCs w:val="16"/>
                              </w:rPr>
                              <w:t xml:space="preserve">. S-nitrousalbumin is a large component of S-nitrosothiol </w:t>
                            </w:r>
                            <w:r w:rsidRPr="00B30314">
                              <w:rPr>
                                <w:sz w:val="16"/>
                                <w:szCs w:val="16"/>
                              </w:rPr>
                              <w:t xml:space="preserve"> (Oplander)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249.15pt;width:437.25pt;height:20.25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" stroked="f">
                <v:textbox>
                  <w:txbxContent>
                    <w:p w:rsidR="00B30314" w:rsidRPr="00B30314" w:rsidRDefault="00B30314">
                      <w:pPr>
                        <w:rPr>
                          <w:sz w:val="16"/>
                          <w:szCs w:val="16"/>
                        </w:rPr>
                      </w:pPr>
                      <w:r w:rsidRPr="00B30314">
                        <w:rPr>
                          <w:sz w:val="16"/>
                          <w:szCs w:val="16"/>
                        </w:rPr>
                        <w:t>Figure 4. Levels of nitric oxide from S-nitrosalbumin is shown</w:t>
                      </w:r>
                      <w:r w:rsidR="008D038E">
                        <w:rPr>
                          <w:sz w:val="16"/>
                          <w:szCs w:val="16"/>
                        </w:rPr>
                        <w:t xml:space="preserve">. S-nitrousalbumin is a large component of S-nitrosothiol </w:t>
                      </w:r>
                      <w:r w:rsidRPr="00B30314">
                        <w:rPr>
                          <w:sz w:val="16"/>
                          <w:szCs w:val="16"/>
                        </w:rPr>
                        <w:t xml:space="preserve"> (Oplander)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3889">
        <w:rPr>
          <w:bCs/>
        </w:rPr>
        <w:t xml:space="preserve">Oplander also did studies on blue light. Performed in vivo, the participants were radiated through a 10 x 15 cm window with wavelengths in the range of 420-834 nm, and </w:t>
      </w:r>
      <w:r w:rsidR="00631483" w:rsidRPr="00631483">
        <w:rPr>
          <w:bCs/>
        </w:rPr>
        <w:t>intensities of 34 mWcm</w:t>
      </w:r>
      <w:r w:rsidR="00631483" w:rsidRPr="00631483">
        <w:rPr>
          <w:bCs/>
          <w:vertAlign w:val="superscript"/>
        </w:rPr>
        <w:t>-2</w:t>
      </w:r>
      <w:r w:rsidR="00631483" w:rsidRPr="00631483">
        <w:rPr>
          <w:bCs/>
        </w:rPr>
        <w:t xml:space="preserve">. </w:t>
      </w:r>
      <w:r w:rsidR="00A052FF">
        <w:t>He found that l</w:t>
      </w:r>
      <w:r w:rsidR="00631483" w:rsidRPr="00631483">
        <w:rPr>
          <w:bCs/>
        </w:rPr>
        <w:t>ocal cutaneous blood flow was incre</w:t>
      </w:r>
      <w:r w:rsidR="00A052FF">
        <w:rPr>
          <w:bCs/>
        </w:rPr>
        <w:t>ased during exposure and up to five</w:t>
      </w:r>
      <w:r w:rsidR="00631483" w:rsidRPr="00631483">
        <w:rPr>
          <w:bCs/>
        </w:rPr>
        <w:t xml:space="preserve"> minutes following exposure. </w:t>
      </w:r>
      <w:r w:rsidR="00F94613">
        <w:rPr>
          <w:bCs/>
        </w:rPr>
        <w:t>Further, b</w:t>
      </w:r>
      <w:r w:rsidR="00631483" w:rsidRPr="00631483">
        <w:rPr>
          <w:bCs/>
        </w:rPr>
        <w:t xml:space="preserve">lue light was able to form nonenzymatic </w:t>
      </w:r>
      <w:r w:rsidR="00F94613">
        <w:rPr>
          <w:bCs/>
        </w:rPr>
        <w:t>nitric oxide, NO,</w:t>
      </w:r>
      <w:r w:rsidR="00631483" w:rsidRPr="00631483">
        <w:rPr>
          <w:bCs/>
        </w:rPr>
        <w:t xml:space="preserve"> in vivo by photolabile </w:t>
      </w:r>
      <w:r w:rsidR="007D1D96">
        <w:rPr>
          <w:bCs/>
        </w:rPr>
        <w:t xml:space="preserve">NO </w:t>
      </w:r>
      <w:r w:rsidR="003B115A">
        <w:rPr>
          <w:bCs/>
        </w:rPr>
        <w:t>precursors such as</w:t>
      </w:r>
      <w:r w:rsidR="00631483" w:rsidRPr="00631483">
        <w:rPr>
          <w:bCs/>
        </w:rPr>
        <w:t xml:space="preserve"> </w:t>
      </w:r>
      <w:r w:rsidR="008D038E">
        <w:rPr>
          <w:bCs/>
        </w:rPr>
        <w:t>S-nitrosothiol (RS</w:t>
      </w:r>
      <w:r w:rsidR="00631483" w:rsidRPr="00631483">
        <w:rPr>
          <w:bCs/>
        </w:rPr>
        <w:t>NO</w:t>
      </w:r>
      <w:r w:rsidR="008D038E">
        <w:rPr>
          <w:bCs/>
        </w:rPr>
        <w:t>)</w:t>
      </w:r>
      <w:r w:rsidR="00631483" w:rsidRPr="00631483">
        <w:rPr>
          <w:bCs/>
        </w:rPr>
        <w:t xml:space="preserve"> in skin tissues</w:t>
      </w:r>
      <w:r w:rsidR="008D038E">
        <w:rPr>
          <w:bCs/>
        </w:rPr>
        <w:t>. See figure 4 below</w:t>
      </w:r>
      <w:r w:rsidR="00631483" w:rsidRPr="00631483">
        <w:rPr>
          <w:bCs/>
        </w:rPr>
        <w:t xml:space="preserve"> (Oplander)</w:t>
      </w:r>
      <w:r w:rsidR="008D038E">
        <w:rPr>
          <w:bCs/>
        </w:rPr>
        <w:t xml:space="preserve">. </w:t>
      </w:r>
    </w:p>
    <w:p w:rsidR="00631483" w:rsidRPr="008D038E" w:rsidRDefault="007D1D96" w:rsidP="00631483">
      <w:r>
        <w:rPr>
          <w:noProof/>
        </w:rPr>
        <w:drawing>
          <wp:inline distT="0" distB="0" distL="0" distR="0" wp14:anchorId="70CD774F" wp14:editId="15671666">
            <wp:extent cx="2138807" cy="1943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53414" cy="195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38E" w:rsidRDefault="008D038E" w:rsidP="00631483">
      <w:pPr>
        <w:rPr>
          <w:bCs/>
        </w:rPr>
      </w:pPr>
    </w:p>
    <w:p w:rsidR="008D038E" w:rsidRDefault="008D038E" w:rsidP="00631483">
      <w:pPr>
        <w:rPr>
          <w:bCs/>
        </w:rPr>
      </w:pPr>
    </w:p>
    <w:p w:rsidR="008D038E" w:rsidRDefault="008D038E" w:rsidP="00631483">
      <w:pPr>
        <w:rPr>
          <w:bCs/>
        </w:rPr>
      </w:pPr>
    </w:p>
    <w:p w:rsidR="00C25F6E" w:rsidRDefault="000B76D8" w:rsidP="00631483">
      <w:pPr>
        <w:rPr>
          <w:bCs/>
        </w:rPr>
      </w:pPr>
      <w:r>
        <w:rPr>
          <w:bCs/>
        </w:rPr>
        <w:t xml:space="preserve">Liebmann performed blue light studies in vitro to endothelial cells as well as keratinocytes. Cells were radiated every 24 hours for 3 days. 24 hours after the last radiation, the number of viable cells were measured using staining methods. </w:t>
      </w:r>
      <w:r w:rsidR="003B115A">
        <w:rPr>
          <w:bCs/>
        </w:rPr>
        <w:t xml:space="preserve">Light in the </w:t>
      </w:r>
      <w:r>
        <w:rPr>
          <w:bCs/>
        </w:rPr>
        <w:t>4</w:t>
      </w:r>
      <w:r w:rsidR="00631483" w:rsidRPr="00631483">
        <w:rPr>
          <w:bCs/>
        </w:rPr>
        <w:t xml:space="preserve">12-426 </w:t>
      </w:r>
      <w:r w:rsidR="003B115A">
        <w:rPr>
          <w:bCs/>
        </w:rPr>
        <w:t xml:space="preserve">nm range </w:t>
      </w:r>
      <w:r w:rsidR="00631483" w:rsidRPr="00631483">
        <w:rPr>
          <w:bCs/>
        </w:rPr>
        <w:t xml:space="preserve">was </w:t>
      </w:r>
      <w:r w:rsidR="003B115A">
        <w:rPr>
          <w:bCs/>
        </w:rPr>
        <w:t xml:space="preserve">found to be </w:t>
      </w:r>
      <w:r w:rsidR="00631483" w:rsidRPr="00631483">
        <w:rPr>
          <w:bCs/>
        </w:rPr>
        <w:t>toxic to endothelial cells and keratino</w:t>
      </w:r>
      <w:r>
        <w:rPr>
          <w:bCs/>
        </w:rPr>
        <w:t>cytes</w:t>
      </w:r>
      <w:r w:rsidR="003B115A">
        <w:rPr>
          <w:bCs/>
        </w:rPr>
        <w:t xml:space="preserve"> at high fluences. See figure 5. These ranges would be approximately equivalent to conditions of natural sunlight. Up to a fluence of 500 </w:t>
      </w:r>
      <w:r w:rsidR="003B115A" w:rsidRPr="00631483">
        <w:rPr>
          <w:bCs/>
        </w:rPr>
        <w:t>mWcm</w:t>
      </w:r>
      <w:r w:rsidR="003B115A" w:rsidRPr="00631483">
        <w:rPr>
          <w:bCs/>
          <w:vertAlign w:val="superscript"/>
        </w:rPr>
        <w:t>-2</w:t>
      </w:r>
      <w:r w:rsidR="003B115A">
        <w:rPr>
          <w:bCs/>
        </w:rPr>
        <w:t xml:space="preserve">, light waves of 453 nm were nontoxic.  </w:t>
      </w:r>
      <w:r w:rsidR="00631483" w:rsidRPr="00631483">
        <w:rPr>
          <w:bCs/>
        </w:rPr>
        <w:t xml:space="preserve">Up to 453 nm, </w:t>
      </w:r>
      <w:r w:rsidR="003B115A">
        <w:rPr>
          <w:bCs/>
        </w:rPr>
        <w:t xml:space="preserve">he found that </w:t>
      </w:r>
      <w:r w:rsidR="00631483" w:rsidRPr="00631483">
        <w:rPr>
          <w:bCs/>
        </w:rPr>
        <w:t>light can release NO from nitrosinated proteins, but not from nitrite</w:t>
      </w:r>
      <w:r w:rsidR="00C25F6E">
        <w:rPr>
          <w:bCs/>
        </w:rPr>
        <w:t xml:space="preserve">. </w:t>
      </w:r>
      <w:r w:rsidR="00274A86">
        <w:rPr>
          <w:bCs/>
        </w:rPr>
        <w:t xml:space="preserve">This data suggests </w:t>
      </w:r>
      <w:r w:rsidR="003B115A">
        <w:rPr>
          <w:bCs/>
        </w:rPr>
        <w:t>that protection from blue light may be desired</w:t>
      </w:r>
      <w:r w:rsidR="00C25F6E">
        <w:rPr>
          <w:bCs/>
        </w:rPr>
        <w:t>.</w:t>
      </w:r>
    </w:p>
    <w:p w:rsidR="00631483" w:rsidRPr="00631483" w:rsidRDefault="00274A86" w:rsidP="00631483">
      <w:bookmarkStart w:id="0" w:name="_GoBack"/>
      <w:bookmarkEnd w:id="0"/>
      <w:r>
        <w:rPr>
          <w:bCs/>
        </w:rPr>
        <w:t>For protection against HEV, Sodium Azide, but not V</w:t>
      </w:r>
      <w:r w:rsidR="00631483" w:rsidRPr="00631483">
        <w:rPr>
          <w:bCs/>
        </w:rPr>
        <w:t>itamin C, mitigated damages to endothelial cells when applied prior to exposure to blue light. Similar results w</w:t>
      </w:r>
      <w:r>
        <w:rPr>
          <w:bCs/>
        </w:rPr>
        <w:t>ere not found for keratinocytes</w:t>
      </w:r>
      <w:r w:rsidR="00631483" w:rsidRPr="00631483">
        <w:rPr>
          <w:bCs/>
        </w:rPr>
        <w:t xml:space="preserve"> (Liebmann)</w:t>
      </w:r>
      <w:r>
        <w:rPr>
          <w:bCs/>
        </w:rPr>
        <w:t>.</w:t>
      </w:r>
    </w:p>
    <w:p w:rsidR="00E4370D" w:rsidRDefault="00E4370D" w:rsidP="00AB01D5"/>
    <w:p w:rsidR="00E4370D" w:rsidRPr="00E4370D" w:rsidRDefault="007D1D96" w:rsidP="00E4370D">
      <w:r>
        <w:rPr>
          <w:noProof/>
        </w:rPr>
        <w:drawing>
          <wp:inline distT="0" distB="0" distL="0" distR="0" wp14:anchorId="06EA22C7" wp14:editId="5F44F1E6">
            <wp:extent cx="2940618" cy="30099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47445" cy="301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70D" w:rsidRPr="00E4370D" w:rsidRDefault="007D1D96" w:rsidP="00E4370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4572000" cy="34290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314" w:rsidRPr="00B30314" w:rsidRDefault="00B3031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30314">
                              <w:rPr>
                                <w:sz w:val="16"/>
                                <w:szCs w:val="16"/>
                              </w:rPr>
                              <w:t>Figure 5. Viability of endothelial cells (column a) and keratinocytes (column b) after exposure to different wavelengths (Liebmann)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5.85pt;width:5in;height:27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" stroked="f">
                <v:textbox>
                  <w:txbxContent>
                    <w:p w:rsidR="00B30314" w:rsidRPr="00B30314" w:rsidRDefault="00B30314">
                      <w:pPr>
                        <w:rPr>
                          <w:sz w:val="16"/>
                          <w:szCs w:val="16"/>
                        </w:rPr>
                      </w:pPr>
                      <w:r w:rsidRPr="00B30314">
                        <w:rPr>
                          <w:sz w:val="16"/>
                          <w:szCs w:val="16"/>
                        </w:rPr>
                        <w:t>Figure 5. Viability of endothelial cells (column a) and keratinocytes (column b) after exposure to different wavelengths (Liebmann)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4370D" w:rsidRPr="00E4370D" w:rsidRDefault="00E4370D" w:rsidP="00E4370D"/>
    <w:p w:rsidR="00E4370D" w:rsidRPr="00E4370D" w:rsidRDefault="00E4370D" w:rsidP="00E4370D"/>
    <w:p w:rsidR="00E4370D" w:rsidRPr="00E4370D" w:rsidRDefault="00E4370D" w:rsidP="00E4370D"/>
    <w:p w:rsidR="00E4370D" w:rsidRDefault="00E4370D" w:rsidP="00E4370D"/>
    <w:p w:rsidR="00F460DA" w:rsidRDefault="00E4370D" w:rsidP="00E4370D">
      <w:pPr>
        <w:tabs>
          <w:tab w:val="left" w:pos="5415"/>
        </w:tabs>
      </w:pPr>
      <w:r>
        <w:tab/>
      </w:r>
    </w:p>
    <w:p w:rsidR="00E4370D" w:rsidRDefault="00E4370D" w:rsidP="00E4370D">
      <w:pPr>
        <w:tabs>
          <w:tab w:val="left" w:pos="5415"/>
        </w:tabs>
      </w:pPr>
    </w:p>
    <w:p w:rsidR="00E4370D" w:rsidRDefault="00E4370D" w:rsidP="00E4370D">
      <w:pPr>
        <w:tabs>
          <w:tab w:val="left" w:pos="5415"/>
        </w:tabs>
      </w:pPr>
    </w:p>
    <w:p w:rsidR="00E4370D" w:rsidRDefault="00E4370D" w:rsidP="00E4370D">
      <w:pPr>
        <w:tabs>
          <w:tab w:val="left" w:pos="5415"/>
        </w:tabs>
      </w:pPr>
    </w:p>
    <w:p w:rsidR="00E4370D" w:rsidRDefault="00E4370D" w:rsidP="00E4370D">
      <w:pPr>
        <w:tabs>
          <w:tab w:val="left" w:pos="5415"/>
        </w:tabs>
      </w:pPr>
    </w:p>
    <w:p w:rsidR="00E4370D" w:rsidRPr="00E4370D" w:rsidRDefault="00E4370D" w:rsidP="00E4370D">
      <w:pPr>
        <w:tabs>
          <w:tab w:val="left" w:pos="5415"/>
        </w:tabs>
        <w:rPr>
          <w:b/>
        </w:rPr>
      </w:pPr>
      <w:r w:rsidRPr="00E4370D">
        <w:rPr>
          <w:b/>
        </w:rPr>
        <w:t>Summary</w:t>
      </w:r>
    </w:p>
    <w:p w:rsidR="008E0E23" w:rsidRPr="00E4370D" w:rsidRDefault="00E80FCB" w:rsidP="00E4370D">
      <w:pPr>
        <w:numPr>
          <w:ilvl w:val="0"/>
          <w:numId w:val="4"/>
        </w:numPr>
        <w:tabs>
          <w:tab w:val="left" w:pos="5415"/>
        </w:tabs>
      </w:pPr>
      <w:r w:rsidRPr="00E4370D">
        <w:t>Blue light is mainly delivered by sunlight, but increased use of smart devices as well as televisions can increase exposure.</w:t>
      </w:r>
    </w:p>
    <w:p w:rsidR="008E0E23" w:rsidRPr="00E4370D" w:rsidRDefault="00E80FCB" w:rsidP="00E4370D">
      <w:pPr>
        <w:numPr>
          <w:ilvl w:val="0"/>
          <w:numId w:val="4"/>
        </w:numPr>
        <w:tabs>
          <w:tab w:val="left" w:pos="5415"/>
        </w:tabs>
      </w:pPr>
      <w:r w:rsidRPr="00E4370D">
        <w:t>Blue light penetrates deeper</w:t>
      </w:r>
      <w:r w:rsidR="00085D36">
        <w:t xml:space="preserve"> into the skin</w:t>
      </w:r>
      <w:r w:rsidRPr="00E4370D">
        <w:t xml:space="preserve"> than UV light.</w:t>
      </w:r>
    </w:p>
    <w:p w:rsidR="008E0E23" w:rsidRPr="00E4370D" w:rsidRDefault="00E80FCB" w:rsidP="00E4370D">
      <w:pPr>
        <w:numPr>
          <w:ilvl w:val="0"/>
          <w:numId w:val="4"/>
        </w:numPr>
        <w:tabs>
          <w:tab w:val="left" w:pos="5415"/>
        </w:tabs>
      </w:pPr>
      <w:r w:rsidRPr="00E4370D">
        <w:t>Blue light exposu</w:t>
      </w:r>
      <w:r w:rsidR="00085D36">
        <w:t>re results in oxidative stress in the skin</w:t>
      </w:r>
      <w:r w:rsidRPr="00E4370D">
        <w:t xml:space="preserve">. </w:t>
      </w:r>
    </w:p>
    <w:p w:rsidR="008E0E23" w:rsidRPr="00E4370D" w:rsidRDefault="00E80FCB" w:rsidP="00E4370D">
      <w:pPr>
        <w:numPr>
          <w:ilvl w:val="0"/>
          <w:numId w:val="4"/>
        </w:numPr>
        <w:tabs>
          <w:tab w:val="left" w:pos="5415"/>
        </w:tabs>
      </w:pPr>
      <w:r w:rsidRPr="00E4370D">
        <w:t>Blue light decreases viability of epithelial and keratinocytes.</w:t>
      </w:r>
    </w:p>
    <w:p w:rsidR="008E0E23" w:rsidRDefault="00E80FCB" w:rsidP="00E4370D">
      <w:pPr>
        <w:numPr>
          <w:ilvl w:val="0"/>
          <w:numId w:val="4"/>
        </w:numPr>
        <w:tabs>
          <w:tab w:val="left" w:pos="5415"/>
        </w:tabs>
      </w:pPr>
      <w:r w:rsidRPr="00E4370D">
        <w:t>Formulation ap</w:t>
      </w:r>
      <w:r w:rsidR="001548F7">
        <w:t>proaches may</w:t>
      </w:r>
      <w:r w:rsidRPr="00E4370D">
        <w:t xml:space="preserve"> include sun protection under FDA sunscreen monograph and/or antioxidant ingredients</w:t>
      </w:r>
      <w:r w:rsidR="001548F7">
        <w:t xml:space="preserve"> with penetration enhancers, depending on the formulation and desired claims. </w:t>
      </w:r>
    </w:p>
    <w:p w:rsidR="00274A86" w:rsidRPr="00E4370D" w:rsidRDefault="00274A86" w:rsidP="00274A86">
      <w:pPr>
        <w:tabs>
          <w:tab w:val="left" w:pos="5415"/>
        </w:tabs>
        <w:ind w:left="720"/>
      </w:pPr>
    </w:p>
    <w:p w:rsidR="00E4370D" w:rsidRDefault="00E4370D" w:rsidP="00E4370D">
      <w:pPr>
        <w:tabs>
          <w:tab w:val="left" w:pos="5415"/>
        </w:tabs>
      </w:pPr>
    </w:p>
    <w:p w:rsidR="00E4370D" w:rsidRPr="00E4370D" w:rsidRDefault="00E4370D" w:rsidP="00E4370D">
      <w:pPr>
        <w:tabs>
          <w:tab w:val="left" w:pos="5415"/>
        </w:tabs>
        <w:rPr>
          <w:b/>
        </w:rPr>
      </w:pPr>
      <w:r w:rsidRPr="00E4370D">
        <w:rPr>
          <w:b/>
        </w:rPr>
        <w:t>References</w:t>
      </w:r>
    </w:p>
    <w:p w:rsidR="008E0E23" w:rsidRPr="00E4370D" w:rsidRDefault="00E80FCB" w:rsidP="00E4370D">
      <w:pPr>
        <w:tabs>
          <w:tab w:val="left" w:pos="5415"/>
        </w:tabs>
      </w:pPr>
      <w:r w:rsidRPr="00E4370D">
        <w:t>Lei, T. C., Pendyala, S., Scherrer, L., Li, B., Glazner, G. F., &amp; Huang, Z. (2013, April 20). Optical profiles of cathode ray tube and liquid crystal display monitors: implication in cutaneous phototoxicity in photodynamic therapy.</w:t>
      </w:r>
      <w:r w:rsidR="00085D36">
        <w:t xml:space="preserve"> Retrieved April 01, 2018, from </w:t>
      </w:r>
      <w:hyperlink r:id="rId15" w:history="1">
        <w:r w:rsidR="00085D36" w:rsidRPr="00EF2308">
          <w:rPr>
            <w:rStyle w:val="Hyperlink"/>
          </w:rPr>
          <w:t>https://www.ncbi.nlm.nih.gov/pmc/articles/PMC5042687/</w:t>
        </w:r>
      </w:hyperlink>
      <w:r w:rsidR="00085D36">
        <w:t xml:space="preserve"> </w:t>
      </w:r>
      <w:r w:rsidRPr="00E4370D">
        <w:t xml:space="preserve"> </w:t>
      </w:r>
    </w:p>
    <w:p w:rsidR="008E0E23" w:rsidRPr="00E4370D" w:rsidRDefault="00E80FCB" w:rsidP="00E4370D">
      <w:pPr>
        <w:tabs>
          <w:tab w:val="left" w:pos="5415"/>
        </w:tabs>
      </w:pPr>
      <w:r w:rsidRPr="00E4370D">
        <w:t>Liebmann, J., Born, M., &amp; Kolb-Bachofen, V. (2010). Blue-Light Irradiation Regulates Proliferation and Differentiation in Human Skin Cells. </w:t>
      </w:r>
      <w:r w:rsidRPr="00E4370D">
        <w:rPr>
          <w:i/>
          <w:iCs/>
        </w:rPr>
        <w:t>Journal of Investigative Dermatology,130</w:t>
      </w:r>
      <w:r w:rsidRPr="00E4370D">
        <w:t>(1), 259-269. doi:10.1038/jid.2009.194</w:t>
      </w:r>
    </w:p>
    <w:p w:rsidR="00B75D6F" w:rsidRDefault="00B75D6F" w:rsidP="00E4370D">
      <w:pPr>
        <w:tabs>
          <w:tab w:val="left" w:pos="5415"/>
        </w:tabs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Moan, J. (2001) Visible light and UV radiation. In: Brune, D., Ed., Radiation at Home, Outdoors and in the Workplace; p. 69-85, Scandinavian Science Publisher.</w:t>
      </w:r>
      <w:r>
        <w:t xml:space="preserve"> </w:t>
      </w:r>
    </w:p>
    <w:p w:rsidR="008E0E23" w:rsidRPr="00E4370D" w:rsidRDefault="00E80FCB" w:rsidP="00E4370D">
      <w:pPr>
        <w:tabs>
          <w:tab w:val="left" w:pos="5415"/>
        </w:tabs>
      </w:pPr>
      <w:r w:rsidRPr="00E4370D">
        <w:t>Most detailed study yet of consumer video viewing suggests some rethinking is in order. (n.d.). Retrieved April 04, 2018, from http://cms.bsu.edu/news/articles/2009/3/mostdetailed-study-yet-of-consumer-video-viewing-suggests-some-rethinking-is-in-order</w:t>
      </w:r>
    </w:p>
    <w:p w:rsidR="008E0E23" w:rsidRPr="00E4370D" w:rsidRDefault="00E80FCB" w:rsidP="00E4370D">
      <w:pPr>
        <w:tabs>
          <w:tab w:val="left" w:pos="5415"/>
        </w:tabs>
      </w:pPr>
      <w:r w:rsidRPr="00E4370D">
        <w:t>Nakashima, Y., Ohta, S., &amp; Wolf, A. M. (2017). Blue light-induced oxidative stress in live skin. </w:t>
      </w:r>
      <w:r w:rsidRPr="00E4370D">
        <w:rPr>
          <w:i/>
          <w:iCs/>
        </w:rPr>
        <w:t>Free Radical Biology and Medicine,108</w:t>
      </w:r>
      <w:r w:rsidRPr="00E4370D">
        <w:t>, 300-310. doi:10.1016/j.freeradbiomed.2017.03.010</w:t>
      </w:r>
    </w:p>
    <w:p w:rsidR="008E0E23" w:rsidRPr="00E4370D" w:rsidRDefault="00E80FCB" w:rsidP="00E4370D">
      <w:pPr>
        <w:tabs>
          <w:tab w:val="left" w:pos="5415"/>
        </w:tabs>
      </w:pPr>
      <w:r w:rsidRPr="00E4370D">
        <w:t>Opländer, C., Deck, A., Volkmar, C. M., Kirsch, M., Liebmann, J., Born, M., . . . Suschek, C. V. (2013). Mechanism and biological relevance of blue-light (420–453 nm)-induced nonenzymatic nitric oxide generation from photolabile nitric oxide derivates in human skin in vitro and in vivo. </w:t>
      </w:r>
      <w:r w:rsidRPr="00E4370D">
        <w:rPr>
          <w:i/>
          <w:iCs/>
        </w:rPr>
        <w:t>Free Radical Biology and Medicine,65</w:t>
      </w:r>
      <w:r w:rsidRPr="00E4370D">
        <w:t>, 1363-1377. doi:10.1016/j.freeradbiomed.2013.09.022</w:t>
      </w:r>
    </w:p>
    <w:p w:rsidR="00E4370D" w:rsidRPr="00E4370D" w:rsidRDefault="00E4370D" w:rsidP="00E4370D">
      <w:pPr>
        <w:tabs>
          <w:tab w:val="left" w:pos="5415"/>
        </w:tabs>
      </w:pPr>
    </w:p>
    <w:sectPr w:rsidR="00E4370D" w:rsidRPr="00E43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EB0" w:rsidRDefault="00B02EB0" w:rsidP="00F460DA">
      <w:pPr>
        <w:spacing w:after="0" w:line="240" w:lineRule="auto"/>
      </w:pPr>
      <w:r>
        <w:separator/>
      </w:r>
    </w:p>
  </w:endnote>
  <w:endnote w:type="continuationSeparator" w:id="0">
    <w:p w:rsidR="00B02EB0" w:rsidRDefault="00B02EB0" w:rsidP="00F46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EB0" w:rsidRDefault="00B02EB0" w:rsidP="00F460DA">
      <w:pPr>
        <w:spacing w:after="0" w:line="240" w:lineRule="auto"/>
      </w:pPr>
      <w:r>
        <w:separator/>
      </w:r>
    </w:p>
  </w:footnote>
  <w:footnote w:type="continuationSeparator" w:id="0">
    <w:p w:rsidR="00B02EB0" w:rsidRDefault="00B02EB0" w:rsidP="00F46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F7D70"/>
    <w:multiLevelType w:val="hybridMultilevel"/>
    <w:tmpl w:val="F23C957A"/>
    <w:lvl w:ilvl="0" w:tplc="ED546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968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9E3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3E7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B2D8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76A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4A6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CA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928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0AE66A3"/>
    <w:multiLevelType w:val="hybridMultilevel"/>
    <w:tmpl w:val="A3825986"/>
    <w:lvl w:ilvl="0" w:tplc="0058B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B88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42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F6E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FC0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0CC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66A7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900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D4E7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3813340"/>
    <w:multiLevelType w:val="hybridMultilevel"/>
    <w:tmpl w:val="9AB22C6C"/>
    <w:lvl w:ilvl="0" w:tplc="B46AC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8EB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BEF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C47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926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3C9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504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D007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6C7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C8C04E3"/>
    <w:multiLevelType w:val="hybridMultilevel"/>
    <w:tmpl w:val="334E8750"/>
    <w:lvl w:ilvl="0" w:tplc="80AE1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207C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2E8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366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5AA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9C7D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C05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7E9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34C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1437707"/>
    <w:multiLevelType w:val="hybridMultilevel"/>
    <w:tmpl w:val="13ACFB64"/>
    <w:lvl w:ilvl="0" w:tplc="DC6CD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A479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E812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60E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F0C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2CD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74F1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566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983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FA"/>
    <w:rsid w:val="00085D36"/>
    <w:rsid w:val="000A3F50"/>
    <w:rsid w:val="000B76D8"/>
    <w:rsid w:val="000F59F7"/>
    <w:rsid w:val="001548F7"/>
    <w:rsid w:val="0019085E"/>
    <w:rsid w:val="001B5676"/>
    <w:rsid w:val="00274A86"/>
    <w:rsid w:val="003A0645"/>
    <w:rsid w:val="003B115A"/>
    <w:rsid w:val="00444EEA"/>
    <w:rsid w:val="005207FD"/>
    <w:rsid w:val="005211A1"/>
    <w:rsid w:val="00527218"/>
    <w:rsid w:val="005750FE"/>
    <w:rsid w:val="00613889"/>
    <w:rsid w:val="00631483"/>
    <w:rsid w:val="00692B68"/>
    <w:rsid w:val="006C2ED9"/>
    <w:rsid w:val="007D1D96"/>
    <w:rsid w:val="00897C92"/>
    <w:rsid w:val="008D038E"/>
    <w:rsid w:val="008E0E23"/>
    <w:rsid w:val="00A052FF"/>
    <w:rsid w:val="00AB01D5"/>
    <w:rsid w:val="00B02EB0"/>
    <w:rsid w:val="00B30314"/>
    <w:rsid w:val="00B75D6F"/>
    <w:rsid w:val="00C25F6E"/>
    <w:rsid w:val="00CB5727"/>
    <w:rsid w:val="00D162FA"/>
    <w:rsid w:val="00DC79B9"/>
    <w:rsid w:val="00E4370D"/>
    <w:rsid w:val="00E80FCB"/>
    <w:rsid w:val="00E91CF3"/>
    <w:rsid w:val="00F460DA"/>
    <w:rsid w:val="00F56AC3"/>
    <w:rsid w:val="00F94613"/>
    <w:rsid w:val="00FA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D5E83-571F-4B22-9B4C-4DF80623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2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01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B01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6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0DA"/>
  </w:style>
  <w:style w:type="paragraph" w:styleId="Footer">
    <w:name w:val="footer"/>
    <w:basedOn w:val="Normal"/>
    <w:link w:val="FooterChar"/>
    <w:uiPriority w:val="99"/>
    <w:unhideWhenUsed/>
    <w:rsid w:val="00F46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0DA"/>
  </w:style>
  <w:style w:type="character" w:styleId="FollowedHyperlink">
    <w:name w:val="FollowedHyperlink"/>
    <w:basedOn w:val="DefaultParagraphFont"/>
    <w:uiPriority w:val="99"/>
    <w:semiHidden/>
    <w:unhideWhenUsed/>
    <w:rsid w:val="00FA3C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1217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603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886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8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5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561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311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07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6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87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528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104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761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663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88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118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551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308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91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mc/articles/PMC5042687/" TargetMode="External"/><Relationship Id="rId10" Type="http://schemas.openxmlformats.org/officeDocument/2006/relationships/hyperlink" Target="http://www.uio.no/studier/emner/matnat/fys/FYS3610/h06/undervisningsmateriale/Compendium/Moan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io.no/studier/emner/matnat/fys/FYS3610/h06/undervisningsmateriale/Compendium/Moan7.pdf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6E18D-1AA9-4099-AA86-050366292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3073</TotalTime>
  <Pages>5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Stevens</dc:creator>
  <cp:keywords/>
  <dc:description/>
  <cp:lastModifiedBy>Lisa Stevens</cp:lastModifiedBy>
  <cp:revision>16</cp:revision>
  <dcterms:created xsi:type="dcterms:W3CDTF">2018-08-24T18:55:00Z</dcterms:created>
  <dcterms:modified xsi:type="dcterms:W3CDTF">2018-09-05T14:27:00Z</dcterms:modified>
</cp:coreProperties>
</file>